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4C" w:rsidRPr="006767D7" w:rsidRDefault="00B8334C" w:rsidP="00B8334C">
      <w:pPr>
        <w:pStyle w:val="Title"/>
        <w:rPr>
          <w:rFonts w:asciiTheme="majorHAnsi" w:hAnsiTheme="majorHAnsi"/>
          <w:sz w:val="24"/>
          <w:szCs w:val="24"/>
        </w:rPr>
      </w:pPr>
    </w:p>
    <w:p w:rsidR="00B8334C" w:rsidRPr="006767D7" w:rsidRDefault="00B8334C" w:rsidP="00B8334C">
      <w:pPr>
        <w:pStyle w:val="Title"/>
        <w:rPr>
          <w:rFonts w:asciiTheme="majorHAnsi" w:hAnsiTheme="majorHAnsi"/>
          <w:sz w:val="24"/>
          <w:szCs w:val="24"/>
        </w:rPr>
      </w:pPr>
    </w:p>
    <w:p w:rsidR="00B8334C" w:rsidRPr="006767D7" w:rsidRDefault="00B8334C" w:rsidP="00B8334C">
      <w:pPr>
        <w:pStyle w:val="Title"/>
        <w:rPr>
          <w:rFonts w:asciiTheme="majorHAnsi" w:hAnsiTheme="majorHAnsi"/>
          <w:sz w:val="24"/>
          <w:szCs w:val="24"/>
        </w:rPr>
      </w:pPr>
    </w:p>
    <w:p w:rsidR="00B8334C" w:rsidRPr="006767D7" w:rsidRDefault="00B8334C" w:rsidP="00B8334C">
      <w:pPr>
        <w:pStyle w:val="Title"/>
        <w:rPr>
          <w:rFonts w:asciiTheme="majorHAnsi" w:hAnsiTheme="majorHAnsi"/>
          <w:sz w:val="24"/>
          <w:szCs w:val="24"/>
        </w:rPr>
      </w:pPr>
    </w:p>
    <w:p w:rsidR="00B8334C" w:rsidRPr="006767D7" w:rsidRDefault="00B8334C" w:rsidP="00B8334C">
      <w:pPr>
        <w:rPr>
          <w:rFonts w:asciiTheme="majorHAnsi" w:hAnsiTheme="majorHAnsi"/>
          <w:sz w:val="24"/>
          <w:szCs w:val="24"/>
        </w:rPr>
      </w:pPr>
    </w:p>
    <w:p w:rsidR="00B8334C" w:rsidRDefault="00B8334C" w:rsidP="00B8334C">
      <w:pPr>
        <w:jc w:val="center"/>
        <w:rPr>
          <w:rFonts w:asciiTheme="majorHAnsi" w:hAnsiTheme="majorHAnsi"/>
          <w:b/>
          <w:sz w:val="24"/>
          <w:szCs w:val="24"/>
        </w:rPr>
      </w:pPr>
      <w:r w:rsidRPr="006767D7">
        <w:rPr>
          <w:rFonts w:asciiTheme="majorHAnsi" w:hAnsiTheme="majorHAnsi"/>
          <w:b/>
          <w:sz w:val="24"/>
          <w:szCs w:val="24"/>
        </w:rPr>
        <w:t>DON WRIGHT FACULTY OF MUSIC</w:t>
      </w:r>
    </w:p>
    <w:p w:rsidR="00CA6AB4" w:rsidRPr="006767D7" w:rsidRDefault="00CA6AB4" w:rsidP="00B8334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Western University, London, Canada</w:t>
      </w:r>
    </w:p>
    <w:p w:rsidR="00CA6AB4" w:rsidRDefault="00CA6AB4" w:rsidP="00CA6AB4">
      <w:pPr>
        <w:jc w:val="center"/>
        <w:rPr>
          <w:rFonts w:asciiTheme="majorHAnsi" w:hAnsiTheme="majorHAnsi"/>
          <w:b/>
          <w:sz w:val="28"/>
          <w:szCs w:val="28"/>
        </w:rPr>
      </w:pPr>
    </w:p>
    <w:p w:rsidR="00B8334C" w:rsidRPr="00CA6AB4" w:rsidRDefault="00654A15" w:rsidP="00CA6AB4">
      <w:pPr>
        <w:jc w:val="center"/>
        <w:rPr>
          <w:rFonts w:asciiTheme="majorHAnsi" w:hAnsiTheme="majorHAnsi"/>
          <w:b/>
          <w:sz w:val="28"/>
          <w:szCs w:val="28"/>
        </w:rPr>
      </w:pPr>
      <w:r w:rsidRPr="00CA6AB4">
        <w:rPr>
          <w:rFonts w:asciiTheme="majorHAnsi" w:hAnsiTheme="majorHAnsi"/>
          <w:b/>
          <w:sz w:val="28"/>
          <w:szCs w:val="28"/>
        </w:rPr>
        <w:t xml:space="preserve">Postdoctoral </w:t>
      </w:r>
      <w:r w:rsidR="00CA6AB4" w:rsidRPr="00CA6AB4">
        <w:rPr>
          <w:rFonts w:asciiTheme="majorHAnsi" w:hAnsiTheme="majorHAnsi"/>
          <w:b/>
          <w:sz w:val="28"/>
          <w:szCs w:val="28"/>
        </w:rPr>
        <w:t xml:space="preserve">Fellow </w:t>
      </w:r>
      <w:r w:rsidRPr="00CA6AB4">
        <w:rPr>
          <w:rFonts w:asciiTheme="majorHAnsi" w:hAnsiTheme="majorHAnsi"/>
          <w:b/>
          <w:sz w:val="28"/>
          <w:szCs w:val="28"/>
        </w:rPr>
        <w:t>in Music Education</w:t>
      </w:r>
    </w:p>
    <w:p w:rsidR="00B8334C" w:rsidRPr="006767D7" w:rsidRDefault="00B8334C" w:rsidP="00B8334C">
      <w:pPr>
        <w:rPr>
          <w:rFonts w:asciiTheme="majorHAnsi" w:hAnsiTheme="majorHAnsi"/>
          <w:b/>
          <w:sz w:val="24"/>
          <w:szCs w:val="24"/>
        </w:rPr>
      </w:pP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50"/>
      </w:tblGrid>
      <w:tr w:rsidR="00654A15" w:rsidRPr="006767D7" w:rsidTr="00654A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54A15" w:rsidRPr="006767D7" w:rsidRDefault="00654A15" w:rsidP="00654A15">
            <w:pPr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6767D7">
              <w:rPr>
                <w:rFonts w:asciiTheme="majorHAnsi" w:hAnsiTheme="majorHAnsi" w:cs="Arial"/>
                <w:b/>
                <w:bCs/>
                <w:sz w:val="24"/>
                <w:szCs w:val="24"/>
                <w:u w:val="single"/>
              </w:rPr>
              <w:t>Job Description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800"/>
            </w:tblGrid>
            <w:tr w:rsidR="00654A15" w:rsidRPr="006767D7" w:rsidTr="00654A15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4A15" w:rsidRPr="006767D7" w:rsidRDefault="00654A15" w:rsidP="00654A15">
                  <w:pPr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The Don Wright Faculty of Music</w:t>
                  </w:r>
                  <w:r w:rsidR="00CA6AB4">
                    <w:rPr>
                      <w:rFonts w:asciiTheme="majorHAnsi" w:hAnsiTheme="majorHAnsi"/>
                      <w:sz w:val="24"/>
                      <w:szCs w:val="24"/>
                    </w:rPr>
                    <w:t xml:space="preserve"> at Western University in London, Ontario,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has long held a reputation as Canada’s highest </w:t>
                  </w:r>
                  <w:r w:rsidR="00B23B48"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>calibre</w:t>
                  </w:r>
                  <w:r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>l</w:t>
                  </w:r>
                  <w:r w:rsidR="00B23B48"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>argest,</w:t>
                  </w:r>
                  <w:proofErr w:type="gramEnd"/>
                  <w:r w:rsidR="00B23B48"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and most comprehensive music e</w:t>
                  </w:r>
                  <w:r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ducation program.  We are a world class team of musicians, educators, researchers, graduate students and visiting </w:t>
                  </w:r>
                  <w:r w:rsidR="00B23B48"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>faculty</w:t>
                  </w:r>
                  <w:r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all focussed on cutting edge research and development in music education. For more information please visit our website at </w:t>
                  </w:r>
                  <w:hyperlink r:id="rId5" w:history="1">
                    <w:r w:rsidRPr="006767D7">
                      <w:rPr>
                        <w:rStyle w:val="Hyperlink"/>
                        <w:rFonts w:asciiTheme="majorHAnsi" w:hAnsiTheme="majorHAnsi" w:cs="Arial"/>
                        <w:sz w:val="24"/>
                        <w:szCs w:val="24"/>
                      </w:rPr>
                      <w:t>http://www.music.uwo.ca/</w:t>
                    </w:r>
                  </w:hyperlink>
                  <w:r w:rsidRPr="006767D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</w:p>
                <w:p w:rsidR="00654A15" w:rsidRPr="006767D7" w:rsidRDefault="00654A15" w:rsidP="00654A15">
                  <w:pPr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:rsidR="00654A15" w:rsidRPr="006767D7" w:rsidRDefault="00654A15" w:rsidP="00654A1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The Don Wright Faculty of Music is searching for a Postdoctoral </w:t>
                  </w:r>
                  <w:r w:rsidR="00CA6AB4">
                    <w:rPr>
                      <w:rFonts w:asciiTheme="majorHAnsi" w:hAnsiTheme="majorHAnsi"/>
                      <w:sz w:val="24"/>
                      <w:szCs w:val="24"/>
                    </w:rPr>
                    <w:t>Fellow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CA6AB4">
                    <w:rPr>
                      <w:rFonts w:asciiTheme="majorHAnsi" w:hAnsiTheme="majorHAnsi"/>
                      <w:sz w:val="24"/>
                      <w:szCs w:val="24"/>
                    </w:rPr>
                    <w:t>to work in the Musical Futures Canada research pro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gram</w:t>
                  </w:r>
                  <w:r w:rsidR="00CA6AB4">
                    <w:rPr>
                      <w:rFonts w:asciiTheme="majorHAnsi" w:hAnsiTheme="majorHAnsi"/>
                      <w:sz w:val="24"/>
                      <w:szCs w:val="24"/>
                    </w:rPr>
                    <w:t xml:space="preserve"> for a period of 12 months, beginning September 1, 2013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. </w:t>
                  </w:r>
                </w:p>
                <w:p w:rsidR="00654A15" w:rsidRPr="006767D7" w:rsidRDefault="00654A15" w:rsidP="00654A1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  <w:t xml:space="preserve">The Musical Futures Canada program conducts research and development in informal music learning pedagogy, non formal teaching, student-centred collaborative learning, popular musics in education and the use of online technologies to support student learning and achievement. A particular focus is on social inclusion of disadvantaged student populations through music education.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Teacher professional development and support is an important part of the development of the program and the successful candidate will be responsible for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developing and maintaining the project website and assisting with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managing and delivering professional development courses.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</w:p>
                <w:p w:rsidR="00654A15" w:rsidRPr="006767D7" w:rsidRDefault="00654A15" w:rsidP="00654A1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The successful candidate will have expertise in conducting research in music education and a strong interest in inclusion, informal learning pedagogy, </w:t>
                  </w:r>
                  <w:proofErr w:type="gramStart"/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popular</w:t>
                  </w:r>
                  <w:proofErr w:type="gramEnd"/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music in education, alternative music programming and technology in music education.</w:t>
                  </w:r>
                </w:p>
                <w:p w:rsidR="00654A15" w:rsidRPr="006767D7" w:rsidRDefault="00654A15" w:rsidP="00654A1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654A15" w:rsidRPr="006767D7" w:rsidRDefault="00654A15" w:rsidP="00654A1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Successful candidates must have a PhD at the time of appointment (awarded within the last </w:t>
                  </w:r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years). Salary is CAD $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24,000 approximately. </w:t>
                  </w:r>
                </w:p>
                <w:p w:rsidR="00B23B48" w:rsidRPr="006767D7" w:rsidRDefault="00B23B48" w:rsidP="00B23B4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Required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="00654A15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Ph.D. in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Music Education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 xml:space="preserve">completed within the last 3 years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="00654A15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Fluent written and oral communication skills in English </w:t>
                  </w:r>
                </w:p>
                <w:p w:rsidR="00B23B48" w:rsidRPr="006767D7" w:rsidRDefault="00654A15" w:rsidP="00B23B4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Demonstrated expertise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in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designing and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conducting research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Demonstrated expertise in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qualitative multimedia data organisation and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analysis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Ability to work both independently and as a member of a team to deliver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research outcomes </w:t>
                  </w:r>
                </w:p>
                <w:p w:rsidR="00B23B48" w:rsidRPr="006767D7" w:rsidRDefault="00654A15" w:rsidP="00B23B4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Ability to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work independently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to write first drafts of research reports and articles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and to deliver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drafts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in a timely manner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Ability to explain literature, experimental design, and outcomes to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academics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and non-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academics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with a variety of backgrounds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both verbally and in writing </w:t>
                  </w:r>
                </w:p>
                <w:p w:rsidR="00C61127" w:rsidRPr="006767D7" w:rsidRDefault="00654A15" w:rsidP="00B23B4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Ability to travel within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Canada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to conduct work in the field </w:t>
                  </w:r>
                </w:p>
                <w:p w:rsidR="00C61127" w:rsidRPr="006767D7" w:rsidRDefault="00C61127" w:rsidP="00B23B4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Interest in online learning technologies, web design and  web management and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>/or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willingness to develop skills in such areas </w:t>
                  </w:r>
                </w:p>
                <w:p w:rsidR="00B23B48" w:rsidRPr="006767D7" w:rsidRDefault="00654A15" w:rsidP="00B23B4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  <w:t>Desired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lastRenderedPageBreak/>
                    <w:t xml:space="preserve">• Previous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music teaching experience in</w:t>
                  </w:r>
                  <w:r w:rsidR="00CA6AB4">
                    <w:rPr>
                      <w:rFonts w:asciiTheme="majorHAnsi" w:hAnsiTheme="majorHAnsi"/>
                      <w:sz w:val="24"/>
                      <w:szCs w:val="24"/>
                    </w:rPr>
                    <w:t xml:space="preserve"> elementary and/or secondary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schools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  <w:t xml:space="preserve">• Experience 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>organising and administ</w:t>
                  </w:r>
                  <w:r w:rsidR="00CA6AB4">
                    <w:rPr>
                      <w:rFonts w:asciiTheme="majorHAnsi" w:hAnsiTheme="majorHAnsi"/>
                      <w:sz w:val="24"/>
                      <w:szCs w:val="24"/>
                    </w:rPr>
                    <w:t>ering</w:t>
                  </w:r>
                  <w:r w:rsidR="00C61127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research and or professional development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  <w:t xml:space="preserve">•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Willingness to step somewhat outside the bounds of prior training to bring novel solutions to bear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  <w:t>• Publication/presentation track record in ref</w:t>
                  </w:r>
                  <w:r w:rsidR="00B23B48"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ereed journals and conferences </w:t>
                  </w:r>
                </w:p>
                <w:p w:rsidR="00000000" w:rsidRDefault="00C61127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Previous experience in online learning technologies, web design </w:t>
                  </w:r>
                  <w:proofErr w:type="gramStart"/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and  web</w:t>
                  </w:r>
                  <w:proofErr w:type="gramEnd"/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management</w:t>
                  </w:r>
                  <w:r w:rsidR="00654A15"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="00654A15"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>APPLICATION DEADLINE AND SUBMISSION PROCESS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br/>
                    <w:t xml:space="preserve">The deadline for </w:t>
                  </w:r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 xml:space="preserve">the online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application for </w:t>
                  </w:r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 xml:space="preserve">the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fellowship is May 1, 2013 </w:t>
                  </w:r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 xml:space="preserve">to begin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 in September 2013. Candidates must be available for Skype and in person interviews during the first two weeks of June. </w:t>
                  </w:r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 xml:space="preserve">Please go to </w:t>
                  </w:r>
                  <w:hyperlink r:id="rId6" w:history="1">
                    <w:r w:rsidR="002538A3" w:rsidRPr="00642011">
                      <w:rPr>
                        <w:rStyle w:val="Hyperlink"/>
                        <w:rFonts w:asciiTheme="majorHAnsi" w:hAnsiTheme="majorHAnsi"/>
                        <w:sz w:val="24"/>
                        <w:szCs w:val="24"/>
                      </w:rPr>
                      <w:t>http://www.grad.uwo.ca/postdoctoral_scholars/prospective/appointment.html</w:t>
                    </w:r>
                  </w:hyperlink>
                  <w:r w:rsidR="002538A3">
                    <w:rPr>
                      <w:rFonts w:asciiTheme="majorHAnsi" w:hAnsiTheme="majorHAnsi"/>
                      <w:sz w:val="24"/>
                      <w:szCs w:val="24"/>
                    </w:rPr>
                    <w:t xml:space="preserve"> to complete the application form. </w:t>
                  </w:r>
                  <w:r w:rsidRPr="006767D7">
                    <w:rPr>
                      <w:rFonts w:asciiTheme="majorHAnsi" w:hAnsiTheme="majorHAnsi"/>
                      <w:sz w:val="24"/>
                      <w:szCs w:val="24"/>
                    </w:rPr>
                    <w:t xml:space="preserve">Applicants should submit a letter of interest, CV, and three letters of reference (submitted separately). For questions, please contact </w:t>
                  </w:r>
                </w:p>
              </w:tc>
            </w:tr>
          </w:tbl>
          <w:p w:rsidR="00654A15" w:rsidRPr="006767D7" w:rsidRDefault="00654A15" w:rsidP="00654A1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54A15" w:rsidRPr="006767D7" w:rsidTr="00654A15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54A15" w:rsidRPr="006767D7" w:rsidRDefault="00654A15" w:rsidP="00654A1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767D7">
              <w:rPr>
                <w:rFonts w:asciiTheme="majorHAnsi" w:hAnsiTheme="majorHAnsi" w:cs="Arial"/>
                <w:b/>
                <w:bCs/>
                <w:sz w:val="24"/>
                <w:szCs w:val="24"/>
              </w:rPr>
              <w:lastRenderedPageBreak/>
              <w:t>  </w:t>
            </w:r>
          </w:p>
        </w:tc>
      </w:tr>
    </w:tbl>
    <w:p w:rsidR="00852746" w:rsidRPr="006767D7" w:rsidRDefault="00C61127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D</w:t>
      </w:r>
      <w:r w:rsidR="00852746"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r. Ruth Wright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Chair, Department of Music Education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Don Wright Faculty of Music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Talbot College, Room 210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The University of Western Ontario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London, Ontario, Canada N6A 3K7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TEL: (519) 661-2111, ext. 85358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>FAX: (519) 661-3531</w:t>
      </w:r>
    </w:p>
    <w:p w:rsidR="00852746" w:rsidRPr="006767D7" w:rsidRDefault="00852746" w:rsidP="00852746">
      <w:pPr>
        <w:autoSpaceDE w:val="0"/>
        <w:autoSpaceDN w:val="0"/>
        <w:adjustRightInd w:val="0"/>
        <w:ind w:firstLine="720"/>
        <w:rPr>
          <w:rFonts w:asciiTheme="majorHAnsi" w:eastAsiaTheme="minorEastAsia" w:hAnsiTheme="majorHAnsi" w:cs="ArialMT"/>
          <w:sz w:val="24"/>
          <w:szCs w:val="24"/>
          <w:lang w:val="en-US"/>
        </w:rPr>
      </w:pPr>
      <w:r w:rsidRPr="006767D7">
        <w:rPr>
          <w:rFonts w:asciiTheme="majorHAnsi" w:eastAsiaTheme="minorEastAsia" w:hAnsiTheme="majorHAnsi" w:cs="ArialMT"/>
          <w:sz w:val="24"/>
          <w:szCs w:val="24"/>
          <w:lang w:val="en-US"/>
        </w:rPr>
        <w:t xml:space="preserve">EMAIL: </w:t>
      </w:r>
      <w:hyperlink r:id="rId7" w:history="1">
        <w:r w:rsidRPr="006767D7">
          <w:rPr>
            <w:rStyle w:val="Hyperlink"/>
            <w:rFonts w:asciiTheme="majorHAnsi" w:eastAsiaTheme="minorEastAsia" w:hAnsiTheme="majorHAnsi" w:cs="ArialMT"/>
            <w:sz w:val="24"/>
            <w:szCs w:val="24"/>
            <w:lang w:val="en-US"/>
          </w:rPr>
          <w:t>rwrigh6@uwo.ca</w:t>
        </w:r>
      </w:hyperlink>
    </w:p>
    <w:p w:rsidR="00852746" w:rsidRPr="006767D7" w:rsidRDefault="00852746" w:rsidP="00852746">
      <w:pPr>
        <w:pStyle w:val="BodyText2"/>
        <w:rPr>
          <w:rFonts w:asciiTheme="majorHAnsi" w:hAnsiTheme="majorHAnsi"/>
          <w:sz w:val="24"/>
          <w:szCs w:val="24"/>
        </w:rPr>
      </w:pPr>
    </w:p>
    <w:p w:rsidR="00B8334C" w:rsidRPr="006767D7" w:rsidRDefault="00B8334C" w:rsidP="00B23B48">
      <w:pPr>
        <w:rPr>
          <w:rFonts w:asciiTheme="majorHAnsi" w:hAnsiTheme="majorHAnsi"/>
          <w:sz w:val="24"/>
          <w:szCs w:val="24"/>
        </w:rPr>
      </w:pPr>
      <w:r w:rsidRPr="006767D7">
        <w:rPr>
          <w:rFonts w:asciiTheme="majorHAnsi" w:hAnsiTheme="majorHAnsi"/>
          <w:sz w:val="24"/>
          <w:szCs w:val="24"/>
        </w:rPr>
        <w:t>The University of Western Ontario is committed to employment equity and welcomes applications from all qualified women and men, including visible minorities, aboriginal people and persons with disabilities.</w:t>
      </w:r>
    </w:p>
    <w:p w:rsidR="00B8334C" w:rsidRPr="006767D7" w:rsidRDefault="00B8334C" w:rsidP="00B8334C">
      <w:pPr>
        <w:jc w:val="center"/>
        <w:rPr>
          <w:rFonts w:asciiTheme="majorHAnsi" w:hAnsiTheme="majorHAnsi"/>
          <w:sz w:val="24"/>
          <w:szCs w:val="24"/>
        </w:rPr>
      </w:pPr>
    </w:p>
    <w:p w:rsidR="00B8334C" w:rsidRPr="006767D7" w:rsidRDefault="00B8334C" w:rsidP="00B8334C">
      <w:pPr>
        <w:jc w:val="center"/>
        <w:rPr>
          <w:rFonts w:asciiTheme="majorHAnsi" w:hAnsiTheme="majorHAnsi"/>
          <w:sz w:val="24"/>
          <w:szCs w:val="24"/>
        </w:rPr>
      </w:pPr>
      <w:r w:rsidRPr="006767D7">
        <w:rPr>
          <w:rFonts w:asciiTheme="majorHAnsi" w:hAnsiTheme="majorHAnsi"/>
          <w:sz w:val="24"/>
          <w:szCs w:val="24"/>
        </w:rPr>
        <w:t xml:space="preserve">Note:  Recent Western graduates who are foreign nationals may be eligible to work on campus.  Please refer to the Citizenship and Immigration Canada website under </w:t>
      </w:r>
      <w:r w:rsidRPr="006767D7">
        <w:rPr>
          <w:rFonts w:asciiTheme="majorHAnsi" w:hAnsiTheme="majorHAnsi"/>
          <w:i/>
          <w:sz w:val="24"/>
          <w:szCs w:val="24"/>
        </w:rPr>
        <w:t xml:space="preserve">Post-Graduation Employment </w:t>
      </w:r>
      <w:r w:rsidRPr="006767D7">
        <w:rPr>
          <w:rFonts w:asciiTheme="majorHAnsi" w:hAnsiTheme="majorHAnsi"/>
          <w:sz w:val="24"/>
          <w:szCs w:val="24"/>
        </w:rPr>
        <w:t xml:space="preserve">at </w:t>
      </w:r>
      <w:hyperlink r:id="rId8" w:history="1">
        <w:r w:rsidRPr="006767D7">
          <w:rPr>
            <w:rStyle w:val="Hyperlink"/>
            <w:rFonts w:asciiTheme="majorHAnsi" w:hAnsiTheme="majorHAnsi" w:cs="Arial"/>
            <w:sz w:val="24"/>
            <w:szCs w:val="24"/>
            <w:lang w:val="en-US"/>
          </w:rPr>
          <w:t>http://www.cic.gc.ca/english/study/index.asp</w:t>
        </w:r>
      </w:hyperlink>
      <w:r w:rsidRPr="006767D7">
        <w:rPr>
          <w:rFonts w:asciiTheme="majorHAnsi" w:hAnsiTheme="majorHAnsi"/>
          <w:sz w:val="24"/>
          <w:szCs w:val="24"/>
        </w:rPr>
        <w:t>.</w:t>
      </w:r>
    </w:p>
    <w:p w:rsidR="003949F7" w:rsidRPr="006767D7" w:rsidRDefault="003949F7">
      <w:pPr>
        <w:rPr>
          <w:rFonts w:asciiTheme="majorHAnsi" w:hAnsiTheme="majorHAnsi"/>
          <w:sz w:val="24"/>
          <w:szCs w:val="24"/>
        </w:rPr>
      </w:pPr>
    </w:p>
    <w:sectPr w:rsidR="003949F7" w:rsidRPr="006767D7" w:rsidSect="00654A15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60D9"/>
    <w:multiLevelType w:val="hybridMultilevel"/>
    <w:tmpl w:val="43AEC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429A2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0F7940"/>
    <w:multiLevelType w:val="hybridMultilevel"/>
    <w:tmpl w:val="D046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55E90"/>
    <w:multiLevelType w:val="hybridMultilevel"/>
    <w:tmpl w:val="1FEC2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4E06E2"/>
    <w:multiLevelType w:val="hybridMultilevel"/>
    <w:tmpl w:val="8F9CF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B8334C"/>
    <w:rsid w:val="00020C21"/>
    <w:rsid w:val="002538A3"/>
    <w:rsid w:val="002E6088"/>
    <w:rsid w:val="003949F7"/>
    <w:rsid w:val="00456795"/>
    <w:rsid w:val="00497B8D"/>
    <w:rsid w:val="00517C52"/>
    <w:rsid w:val="005A53B8"/>
    <w:rsid w:val="00604B84"/>
    <w:rsid w:val="00605661"/>
    <w:rsid w:val="00654A15"/>
    <w:rsid w:val="006767D7"/>
    <w:rsid w:val="0069170F"/>
    <w:rsid w:val="007D386F"/>
    <w:rsid w:val="007F4429"/>
    <w:rsid w:val="00815AC8"/>
    <w:rsid w:val="00852746"/>
    <w:rsid w:val="008A2AE5"/>
    <w:rsid w:val="00B23B48"/>
    <w:rsid w:val="00B8334C"/>
    <w:rsid w:val="00C61127"/>
    <w:rsid w:val="00CA6A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4C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334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8334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B8334C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B8334C"/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B8334C"/>
    <w:rPr>
      <w:rFonts w:ascii="Arial" w:eastAsia="Times New Roman" w:hAnsi="Arial" w:cs="Arial"/>
      <w:b/>
      <w:bCs/>
      <w:sz w:val="22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B83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334C"/>
    <w:rPr>
      <w:rFonts w:ascii="Arial Unicode MS" w:eastAsia="Arial Unicode MS" w:hAnsi="Arial Unicode MS" w:cs="Arial Unicode M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334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52746"/>
    <w:rPr>
      <w:i/>
      <w:iCs/>
    </w:rPr>
  </w:style>
  <w:style w:type="paragraph" w:styleId="ListParagraph">
    <w:name w:val="List Paragraph"/>
    <w:basedOn w:val="Normal"/>
    <w:uiPriority w:val="34"/>
    <w:qFormat/>
    <w:rsid w:val="00C611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A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A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A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B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4C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334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8334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B8334C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B8334C"/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B8334C"/>
    <w:rPr>
      <w:rFonts w:ascii="Arial" w:eastAsia="Times New Roman" w:hAnsi="Arial" w:cs="Arial"/>
      <w:b/>
      <w:bCs/>
      <w:sz w:val="22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B83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334C"/>
    <w:rPr>
      <w:rFonts w:ascii="Arial Unicode MS" w:eastAsia="Arial Unicode MS" w:hAnsi="Arial Unicode MS" w:cs="Arial Unicode M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33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.gc.ca/english/study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wrigh6@uw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.uwo.ca/postdoctoral_scholars/prospective/appointment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usic.uwo.c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Roland</dc:creator>
  <cp:lastModifiedBy>computer</cp:lastModifiedBy>
  <cp:revision>2</cp:revision>
  <dcterms:created xsi:type="dcterms:W3CDTF">2013-03-04T18:19:00Z</dcterms:created>
  <dcterms:modified xsi:type="dcterms:W3CDTF">2013-03-04T18:19:00Z</dcterms:modified>
</cp:coreProperties>
</file>